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8E" w:rsidRPr="00FA6D95" w:rsidRDefault="006B1B8E" w:rsidP="006B1B8E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b/>
          <w:color w:val="auto"/>
          <w:sz w:val="24"/>
          <w:szCs w:val="24"/>
          <w:u w:val="single"/>
        </w:rPr>
      </w:pPr>
      <w:r w:rsidRPr="00FA6D95">
        <w:rPr>
          <w:rFonts w:ascii="Times New Roman" w:eastAsiaTheme="minorEastAsia" w:hAnsi="Times New Roman" w:cstheme="minorBidi"/>
          <w:b/>
          <w:color w:val="auto"/>
          <w:sz w:val="24"/>
          <w:szCs w:val="24"/>
          <w:u w:val="single"/>
        </w:rPr>
        <w:t>19EE3203 – SWITCHGEAR AND PROTECTION</w:t>
      </w:r>
    </w:p>
    <w:p w:rsidR="006B1B8E" w:rsidRPr="00FA6D95" w:rsidRDefault="006B1B8E" w:rsidP="006B1B8E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b/>
          <w:color w:val="auto"/>
        </w:rPr>
      </w:pPr>
      <w:r w:rsidRPr="00FA6D95">
        <w:rPr>
          <w:rFonts w:ascii="Times New Roman" w:eastAsiaTheme="minorEastAsia" w:hAnsi="Times New Roman" w:cstheme="minorBidi"/>
          <w:b/>
          <w:color w:val="auto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3060"/>
        <w:gridCol w:w="3510"/>
        <w:gridCol w:w="764"/>
      </w:tblGrid>
      <w:tr w:rsidR="006B1B8E" w:rsidRPr="00B6384B" w:rsidTr="00F2078B">
        <w:tc>
          <w:tcPr>
            <w:tcW w:w="1908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color w:val="auto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</w:rPr>
              <w:t>Course Category:</w:t>
            </w:r>
          </w:p>
        </w:tc>
        <w:tc>
          <w:tcPr>
            <w:tcW w:w="306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Professional </w:t>
            </w:r>
            <w:r w:rsidRPr="00FA6D95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en-IN"/>
              </w:rPr>
              <w:t>Elective</w:t>
            </w:r>
          </w:p>
        </w:tc>
        <w:tc>
          <w:tcPr>
            <w:tcW w:w="351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764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3</w:t>
            </w:r>
          </w:p>
        </w:tc>
      </w:tr>
      <w:tr w:rsidR="006B1B8E" w:rsidRPr="00B6384B" w:rsidTr="00F2078B">
        <w:tc>
          <w:tcPr>
            <w:tcW w:w="1908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06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764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2-1-0</w:t>
            </w:r>
          </w:p>
        </w:tc>
      </w:tr>
      <w:tr w:rsidR="006B1B8E" w:rsidRPr="00B6384B" w:rsidTr="00F2078B">
        <w:tc>
          <w:tcPr>
            <w:tcW w:w="1908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06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Power system equipment, power system Analysis, circuit analysis and field theory.</w:t>
            </w:r>
          </w:p>
        </w:tc>
        <w:tc>
          <w:tcPr>
            <w:tcW w:w="3510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proofErr w:type="spellStart"/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External Exam Evaluation: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764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40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60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100</w:t>
            </w:r>
          </w:p>
        </w:tc>
      </w:tr>
    </w:tbl>
    <w:p w:rsidR="006B1B8E" w:rsidRPr="00FA6D95" w:rsidRDefault="006B1B8E" w:rsidP="006B1B8E">
      <w:pPr>
        <w:spacing w:after="0" w:line="240" w:lineRule="auto"/>
        <w:contextualSpacing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6B1B8E" w:rsidRPr="00B6384B" w:rsidTr="00F2078B">
        <w:trPr>
          <w:trHeight w:val="350"/>
        </w:trPr>
        <w:tc>
          <w:tcPr>
            <w:tcW w:w="1951" w:type="dxa"/>
            <w:vMerge w:val="restart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contextualSpacing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Students undergoing this course are expected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to learn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:</w:t>
            </w:r>
          </w:p>
        </w:tc>
      </w:tr>
      <w:tr w:rsidR="006B1B8E" w:rsidRPr="00B6384B" w:rsidTr="00F2078B">
        <w:trPr>
          <w:trHeight w:val="547"/>
        </w:trPr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1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About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switchgear protective equipment’s.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2. The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construction and operation of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different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types of circuit breakers.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3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Different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types of relay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s and its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operation.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4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The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different 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types of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relay applications.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5.The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zones of protection and equipment protection in the </w:t>
            </w:r>
          </w:p>
          <w:p w:rsidR="006B1B8E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proofErr w:type="gram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power</w:t>
            </w:r>
            <w:proofErr w:type="gramEnd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system.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6.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he 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protection against overvoltage and to insulation co-ordination</w:t>
            </w:r>
          </w:p>
        </w:tc>
      </w:tr>
      <w:tr w:rsidR="006B1B8E" w:rsidRPr="00B6384B" w:rsidTr="00F2078B">
        <w:tc>
          <w:tcPr>
            <w:tcW w:w="1951" w:type="dxa"/>
            <w:vMerge w:val="restart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contextualSpacing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After completing the course the student will be able to: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Understand the application and operation of the fuses as well as on Arcing Phenomenon.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Enumerate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the operation and application of various types of circuit breakers in the real time applications of power system.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Differentiate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the operation of different relays.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Choose appropriate relays for the power system protection.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Design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zones of protection and equipment of protection in the power system.</w:t>
            </w:r>
          </w:p>
        </w:tc>
      </w:tr>
      <w:tr w:rsidR="006B1B8E" w:rsidRPr="00B6384B" w:rsidTr="00F2078B">
        <w:tc>
          <w:tcPr>
            <w:tcW w:w="1951" w:type="dxa"/>
            <w:vMerge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Gain knowledge in the field of over voltage protection.</w:t>
            </w:r>
          </w:p>
        </w:tc>
      </w:tr>
      <w:tr w:rsidR="006B1B8E" w:rsidRPr="00B6384B" w:rsidTr="00F2078B">
        <w:tc>
          <w:tcPr>
            <w:tcW w:w="1951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Fuses: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Definitions, characteristics, selection of fuses, types of fuses and applications.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Circuit breakers: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Arc phenomena, initiation &amp; maintenance of arc, methods of arc interruption, </w:t>
            </w:r>
            <w:proofErr w:type="spell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restriking</w:t>
            </w:r>
            <w:proofErr w:type="spell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voltage and recovery voltages, </w:t>
            </w:r>
            <w:proofErr w:type="spell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restriking</w:t>
            </w:r>
            <w:proofErr w:type="spell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phenomenon, average and max. RRRV, expression for RRRV, resistance switching, single frequency transients, double frequency transients, current chopping, interruption of capacitive currents.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UNIT-II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Classification of circuit breakers: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Principle of operation &amp; constructional features of oil, air blast, SF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</w:rPr>
              <w:t xml:space="preserve">6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&amp; vacuum CBs, ratings of CBs, testing of CBs, auto </w:t>
            </w:r>
            <w:proofErr w:type="spell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reclosures</w:t>
            </w:r>
            <w:proofErr w:type="spell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UNIT-I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Protective relays: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Fundamental requirement of protective relays, primary and backup protection, principle of operation of protective schemes. 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Classification of relays-I: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Types of Electromagnetic relays, over current relays, directional relays and non-directional relays, earth fault relays.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Classification of relays-II: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Distance relays, negative sequence- differential and under frequency relays.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Static relays: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Basic static relays used in protective scheme, classification of static relays, over current, directional, distance, differential relays.  </w:t>
            </w:r>
            <w:proofErr w:type="gram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comparators</w:t>
            </w:r>
            <w:proofErr w:type="gram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amplitude &amp; phase comparators, duality.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Feeder protection: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Transmission line, protection-bus bar protection.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Generator protection: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Protection for stator faults, rotor faults and protection for abnormal conditions.</w:t>
            </w:r>
          </w:p>
          <w:p w:rsidR="006B1B8E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Transformer protection: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Differential protection schemes-Buchholz relay. 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UNIT-VI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Over voltage protection: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Causes of over voltages in the power system, Phenomena of lightning, protection against direct strokes &amp; indirect strokes, lightning arresters, zinc oxide lightning arrester, surge absorbers.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Insulation coordination: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Volt-time curve, basic impulse insulation levels of different equipments, insulation coordination of transformers, lightning arresters, bus bars and transmission lines. 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1B8E" w:rsidRPr="00B6384B" w:rsidTr="00F2078B">
        <w:tc>
          <w:tcPr>
            <w:tcW w:w="1951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Text books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&amp;</w:t>
            </w:r>
          </w:p>
          <w:p w:rsidR="006B1B8E" w:rsidRPr="00FA6D95" w:rsidRDefault="006B1B8E" w:rsidP="00F2078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Text books: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Verdana"/>
                <w:color w:val="auto"/>
                <w:sz w:val="24"/>
                <w:szCs w:val="24"/>
              </w:rPr>
            </w:pPr>
            <w:proofErr w:type="gram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1.“</w:t>
            </w:r>
            <w:proofErr w:type="gramEnd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Power system protection and switchgear”, by </w:t>
            </w:r>
            <w:proofErr w:type="spellStart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Badri</w:t>
            </w:r>
            <w:proofErr w:type="spellEnd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 Ram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&amp;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D. N. 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Vishwakarma</w:t>
            </w:r>
            <w:proofErr w:type="spell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Tata-McGraw-Hill, 2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  <w:vertAlign w:val="superscript"/>
              </w:rPr>
              <w:t>nd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 Edition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2.“Electrical power systems”, by C.L. </w:t>
            </w:r>
            <w:proofErr w:type="spell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Wadhwa</w:t>
            </w:r>
            <w:proofErr w:type="spell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7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Edition NAI 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publishers</w:t>
            </w:r>
            <w:proofErr w:type="gramEnd"/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Verdana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3.“A Course in power systems”, by J.B Gupta, Publisher: 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S.K. </w:t>
            </w:r>
            <w:proofErr w:type="spellStart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Kataria</w:t>
            </w:r>
            <w:proofErr w:type="spellEnd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&amp;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 xml:space="preserve">   Sons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11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Edition.</w:t>
            </w:r>
          </w:p>
          <w:p w:rsidR="006B1B8E" w:rsidRPr="00FA6D95" w:rsidRDefault="006B1B8E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Reference books:</w:t>
            </w:r>
          </w:p>
          <w:p w:rsidR="006B1B8E" w:rsidRPr="00FA6D95" w:rsidRDefault="006B1B8E" w:rsidP="006B1B8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“Switchgear &amp; protection”, by Sunil S </w:t>
            </w:r>
            <w:proofErr w:type="spell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Rao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Khanna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Publishers.</w:t>
            </w:r>
          </w:p>
          <w:p w:rsidR="006B1B8E" w:rsidRPr="00FA6D95" w:rsidRDefault="006B1B8E" w:rsidP="006B1B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“Power system protection &amp; switchgear” by </w:t>
            </w:r>
            <w:proofErr w:type="spellStart"/>
            <w:r w:rsidRPr="00F33CBC">
              <w:rPr>
                <w:rFonts w:ascii="Times New Roman" w:hAnsi="Times New Roman" w:cs="Verdana"/>
                <w:color w:val="auto"/>
                <w:sz w:val="24"/>
                <w:szCs w:val="24"/>
              </w:rPr>
              <w:t>B</w:t>
            </w:r>
            <w:r w:rsidRPr="00F33C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Ravindranath</w:t>
            </w:r>
            <w:proofErr w:type="spellEnd"/>
            <w:r w:rsidRPr="00FA6D9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 N</w:t>
            </w:r>
            <w:r w:rsidRPr="00FA6D9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A6D95">
              <w:rPr>
                <w:rFonts w:ascii="Times New Roman" w:hAnsi="Times New Roman" w:cs="Verdana"/>
                <w:color w:val="auto"/>
                <w:sz w:val="24"/>
                <w:szCs w:val="24"/>
              </w:rPr>
              <w:t>Chander</w:t>
            </w:r>
            <w:proofErr w:type="spellEnd"/>
            <w:r w:rsidRPr="00FA6D9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r w:rsidRPr="00FA6D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Wiley Eastern Limited.</w:t>
            </w:r>
          </w:p>
          <w:p w:rsidR="006B1B8E" w:rsidRPr="00FA6D95" w:rsidRDefault="006B1B8E" w:rsidP="006B1B8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“Electrical power</w:t>
            </w:r>
            <w:r w:rsidRPr="00FA6D95">
              <w:rPr>
                <w:rFonts w:ascii="Times New Roman" w:eastAsiaTheme="minorEastAsia" w:hAnsi="Times New Roman" w:cstheme="minorBidi"/>
                <w:i/>
                <w:iCs/>
                <w:color w:val="auto"/>
                <w:sz w:val="24"/>
                <w:szCs w:val="24"/>
              </w:rPr>
              <w:t>”,</w:t>
            </w:r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by </w:t>
            </w:r>
            <w:proofErr w:type="spell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DrS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L </w:t>
            </w:r>
            <w:proofErr w:type="spell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Uppal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>Khanna</w:t>
            </w:r>
            <w:proofErr w:type="spellEnd"/>
            <w:r w:rsidRPr="00FA6D95"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  <w:t xml:space="preserve"> Publishers.</w:t>
            </w:r>
          </w:p>
        </w:tc>
      </w:tr>
      <w:tr w:rsidR="006B1B8E" w:rsidRPr="00FA6D95" w:rsidTr="00F2078B">
        <w:tc>
          <w:tcPr>
            <w:tcW w:w="1951" w:type="dxa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  <w:t>e-Resources:</w:t>
            </w:r>
          </w:p>
        </w:tc>
        <w:tc>
          <w:tcPr>
            <w:tcW w:w="7291" w:type="dxa"/>
            <w:gridSpan w:val="2"/>
          </w:tcPr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FA6D95">
                <w:rPr>
                  <w:rFonts w:ascii="Times New Roman" w:eastAsiaTheme="minorEastAsia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FA6D95">
                <w:rPr>
                  <w:rFonts w:ascii="Times New Roman" w:eastAsiaTheme="minorEastAsia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6B1B8E" w:rsidRPr="00FA6D95" w:rsidRDefault="006B1B8E" w:rsidP="00F2078B">
            <w:pPr>
              <w:spacing w:after="0" w:line="240" w:lineRule="auto"/>
              <w:contextualSpacing/>
              <w:rPr>
                <w:rFonts w:ascii="Times New Roman" w:eastAsiaTheme="minorEastAsia" w:hAnsi="Times New Roman" w:cstheme="minorBidi"/>
                <w:color w:val="auto"/>
                <w:sz w:val="24"/>
                <w:szCs w:val="24"/>
              </w:rPr>
            </w:pPr>
            <w:r w:rsidRPr="00FA6D9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http://freevideolectures.com/university/iitm.</w:t>
            </w:r>
          </w:p>
        </w:tc>
      </w:tr>
    </w:tbl>
    <w:p w:rsidR="006B1B8E" w:rsidRPr="00FA6D95" w:rsidRDefault="006B1B8E" w:rsidP="006B1B8E">
      <w:pPr>
        <w:rPr>
          <w:rFonts w:asciiTheme="minorHAnsi" w:eastAsiaTheme="minorEastAsia" w:hAnsiTheme="minorHAnsi" w:cstheme="minorBidi"/>
          <w:color w:val="auto"/>
        </w:rPr>
      </w:pPr>
    </w:p>
    <w:p w:rsidR="006B1B8E" w:rsidRPr="00B6384B" w:rsidRDefault="006B1B8E" w:rsidP="006B1B8E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B1B8E" w:rsidRDefault="006B1B8E" w:rsidP="006B1B8E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B1B8E" w:rsidRDefault="006B1B8E" w:rsidP="006B1B8E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6B1B8E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7B2"/>
    <w:multiLevelType w:val="hybridMultilevel"/>
    <w:tmpl w:val="C87233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B1B8E"/>
    <w:rsid w:val="00393E8B"/>
    <w:rsid w:val="00631B27"/>
    <w:rsid w:val="006B1B8E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8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2021-10-30T09:32:00Z</dcterms:created>
  <dcterms:modified xsi:type="dcterms:W3CDTF">2021-10-30T09:33:00Z</dcterms:modified>
</cp:coreProperties>
</file>